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exact"/>
        <w:jc w:val="center"/>
        <w:rPr>
          <w:rFonts w:hint="eastAsia" w:ascii="黑体" w:hAnsi="黑体" w:eastAsia="黑体" w:cs="黑体"/>
          <w:b/>
          <w:bCs w:val="0"/>
          <w:spacing w:val="20"/>
          <w:sz w:val="32"/>
          <w:szCs w:val="32"/>
        </w:rPr>
      </w:pPr>
      <w:r>
        <w:rPr>
          <w:rFonts w:hint="eastAsia" w:ascii="黑体" w:hAnsi="黑体" w:eastAsia="黑体" w:cs="黑体"/>
          <w:b/>
          <w:bCs w:val="0"/>
          <w:spacing w:val="20"/>
          <w:sz w:val="32"/>
          <w:szCs w:val="32"/>
        </w:rPr>
        <w:t>福建省中等职业学校学业水平考试</w:t>
      </w:r>
    </w:p>
    <w:p>
      <w:pPr>
        <w:pStyle w:val="4"/>
        <w:spacing w:line="360" w:lineRule="exact"/>
        <w:jc w:val="center"/>
        <w:rPr>
          <w:rFonts w:hint="eastAsia" w:ascii="黑体" w:hAnsi="黑体" w:eastAsia="黑体" w:cs="黑体"/>
          <w:b/>
          <w:bCs w:val="0"/>
          <w:spacing w:val="20"/>
          <w:sz w:val="32"/>
          <w:szCs w:val="32"/>
        </w:rPr>
      </w:pPr>
      <w:r>
        <w:rPr>
          <w:rFonts w:hint="eastAsia" w:ascii="黑体" w:hAnsi="黑体" w:eastAsia="黑体" w:cs="黑体"/>
          <w:b/>
          <w:bCs w:val="0"/>
          <w:spacing w:val="20"/>
          <w:sz w:val="32"/>
          <w:szCs w:val="32"/>
        </w:rPr>
        <w:t>《会计基础》课程考试大纲</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宋体" w:hAnsi="宋体" w:eastAsia="宋体" w:cs="宋体"/>
          <w:color w:val="000000"/>
          <w:sz w:val="24"/>
          <w:szCs w:val="24"/>
        </w:rPr>
        <w:t>本考试大纲以教育部《中等职业学校专业教学标准》为指导，</w:t>
      </w:r>
      <w:r>
        <w:rPr>
          <w:rFonts w:hint="eastAsia" w:asciiTheme="minorEastAsia" w:hAnsiTheme="minorEastAsia" w:eastAsiaTheme="minorEastAsia" w:cstheme="minorEastAsia"/>
          <w:sz w:val="24"/>
          <w:szCs w:val="24"/>
        </w:rPr>
        <w:t>结合我省中职学校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会计基础课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程教学的实际情况而制定。</w:t>
      </w:r>
    </w:p>
    <w:p>
      <w:pPr>
        <w:pStyle w:val="10"/>
        <w:keepNext w:val="0"/>
        <w:keepLines w:val="0"/>
        <w:pageBreakBefore w:val="0"/>
        <w:widowControl w:val="0"/>
        <w:kinsoku/>
        <w:wordWrap/>
        <w:overflowPunct/>
        <w:topLinePunct w:val="0"/>
        <w:autoSpaceDE/>
        <w:bidi w:val="0"/>
        <w:adjustRightInd/>
        <w:ind w:right="0" w:rightChars="0"/>
        <w:jc w:val="center"/>
        <w:textAlignment w:val="auto"/>
        <w:rPr>
          <w:rFonts w:hint="eastAsia" w:asciiTheme="minorEastAsia" w:hAnsiTheme="minorEastAsia" w:eastAsiaTheme="minorEastAsia" w:cstheme="minorEastAsia"/>
          <w:sz w:val="24"/>
          <w:szCs w:val="24"/>
        </w:rPr>
      </w:pPr>
      <w:r>
        <w:rPr>
          <w:rFonts w:hint="eastAsia" w:ascii="宋体" w:hAnsi="宋体" w:eastAsia="宋体" w:cs="宋体"/>
          <w:b/>
          <w:color w:val="000000"/>
          <w:sz w:val="24"/>
          <w:szCs w:val="24"/>
        </w:rPr>
        <w:t>Ⅰ</w:t>
      </w:r>
      <w:r>
        <w:rPr>
          <w:rFonts w:hint="eastAsia" w:asciiTheme="minorEastAsia" w:hAnsiTheme="minorEastAsia" w:eastAsiaTheme="minorEastAsia" w:cstheme="minorEastAsia"/>
          <w:sz w:val="24"/>
          <w:szCs w:val="24"/>
        </w:rPr>
        <w:t>.考试目标与要求</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《会计基础》课程主要考查学生对会计基础知识的认知程度和运用知识分析问题、解决问题的能力，能达到职业岗位能力的基本要求。具体要求如下</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1.了解层次：要求对某一概念、知识内容，能够准确再认、再现，具有初步识别、辨认事实或正确描述对象的基本特征的能力，即知道“是什么”。</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2.理解层次：要求对某一概念、知识内容，在了解基础上，能够深刻领会相关知识、原理、方法，并借此解释、推断、分析现象，辨明正误，即明白“为什么”。</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3.掌握层次：要求能够灵活运用相关原理、法则和方法，综合分析、解决实际问题，进行总结论述，与已有技能建立联系，即清楚“怎么办”。</w:t>
      </w:r>
    </w:p>
    <w:p>
      <w:pPr>
        <w:pStyle w:val="10"/>
        <w:keepNext w:val="0"/>
        <w:keepLines w:val="0"/>
        <w:pageBreakBefore w:val="0"/>
        <w:widowControl w:val="0"/>
        <w:kinsoku/>
        <w:wordWrap/>
        <w:overflowPunct/>
        <w:topLinePunct w:val="0"/>
        <w:autoSpaceDE/>
        <w:bidi w:val="0"/>
        <w:adjustRightInd/>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Ⅱ.考试范围与考核要求</w:t>
      </w:r>
    </w:p>
    <w:p>
      <w:pPr>
        <w:pStyle w:val="3"/>
        <w:keepNext w:val="0"/>
        <w:keepLines w:val="0"/>
        <w:pageBreakBefore w:val="0"/>
        <w:widowControl w:val="0"/>
        <w:kinsoku/>
        <w:wordWrap/>
        <w:overflowPunct/>
        <w:topLinePunct w:val="0"/>
        <w:autoSpaceDE/>
        <w:bidi w:val="0"/>
        <w:adjustRightInd/>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一、会计基础概述 </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1.了解会计产生和发展的历史；</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2.掌握会计的概念、特点、基本职能及相互关系；</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3.了解会计方法；掌握会计核算方法的构成；</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4.理解会计对象和会计事项（即经济业务）；</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5.理解企业资金运动的过程；</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6.理解会计核算的基本前提； </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7.理解会计记账基础的概念及特点；</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8.掌握权责发生制在确认收入及费用中的应用；</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9.了解会计信息质量的要求；</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10.了解我国现行的会计法规体系及我国会计工作的管理体制；</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11.了解会计机构和会计岗位的设置以及会计人员的配备和会计人员的职业道德；</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12.了解会计档案管理制度（参照2016.1.1起施行的《会计档案管理办法》规定）和会计工作的交接手续。</w:t>
      </w:r>
    </w:p>
    <w:p>
      <w:pPr>
        <w:pStyle w:val="3"/>
        <w:keepNext w:val="0"/>
        <w:keepLines w:val="0"/>
        <w:pageBreakBefore w:val="0"/>
        <w:widowControl w:val="0"/>
        <w:kinsoku/>
        <w:wordWrap/>
        <w:overflowPunct/>
        <w:topLinePunct w:val="0"/>
        <w:autoSpaceDE/>
        <w:bidi w:val="0"/>
        <w:adjustRightInd/>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二、会计要素与会计平衡公式 </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1.理解会计要素的概念、内容及作用；</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2.掌握六个会计要素的概念及具体内容；</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3.理解六个会计要素的相互关系；</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4.掌握静态和动态的会计平衡等式；</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5.掌握经济业务的类型以及经济业务的发生对会计等式的影响。</w:t>
      </w:r>
    </w:p>
    <w:p>
      <w:pPr>
        <w:pStyle w:val="3"/>
        <w:keepNext w:val="0"/>
        <w:keepLines w:val="0"/>
        <w:pageBreakBefore w:val="0"/>
        <w:widowControl w:val="0"/>
        <w:kinsoku/>
        <w:wordWrap/>
        <w:overflowPunct/>
        <w:topLinePunct w:val="0"/>
        <w:autoSpaceDE/>
        <w:bidi w:val="0"/>
        <w:adjustRightInd/>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三、账户和复式记账 </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1.理解会计科目和会计账户的概念；</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2.了解会计科目的分类和设置原则；</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3.掌握会计账户的基本结构；</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4.理解会计科目和账户的关系；</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5.理解账户按经济内容的分类</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6.掌握复式记账的原理、特点、种类；</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7.掌握借贷记账法的概念、特点和借贷记账法下账户的结构；</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8.理解会计分录概念、种类以及账户的对应关系；</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9.掌握规范编制会计分录的方法；</w:t>
      </w:r>
      <w:bookmarkStart w:id="0" w:name="_GoBack"/>
      <w:bookmarkEnd w:id="0"/>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10.理解借贷记账法下的试算平衡。</w:t>
      </w:r>
    </w:p>
    <w:p>
      <w:pPr>
        <w:pStyle w:val="3"/>
        <w:keepNext w:val="0"/>
        <w:keepLines w:val="0"/>
        <w:pageBreakBefore w:val="0"/>
        <w:widowControl w:val="0"/>
        <w:kinsoku/>
        <w:wordWrap/>
        <w:overflowPunct/>
        <w:topLinePunct w:val="0"/>
        <w:autoSpaceDE/>
        <w:bidi w:val="0"/>
        <w:adjustRightInd/>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四、会计凭证 </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1.理解会计凭证的概念及种类；</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2.理解原始凭证的概念及种类；</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3.理解原始凭证的基本内容；</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4.掌握一些较常见的原始凭证的填制方法；</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5.理解原始凭证的审核基本要点；</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6.理解记账凭证的概念及种类；</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7.理解记账凭证的基本内容；</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8.掌握记账凭证的填制方法；</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9.理解记账凭证审核的基本要点；</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10.了解会计凭证的传递程序和保管的基本规定。</w:t>
      </w:r>
    </w:p>
    <w:p>
      <w:pPr>
        <w:pStyle w:val="3"/>
        <w:keepNext w:val="0"/>
        <w:keepLines w:val="0"/>
        <w:pageBreakBefore w:val="0"/>
        <w:widowControl w:val="0"/>
        <w:kinsoku/>
        <w:wordWrap/>
        <w:overflowPunct/>
        <w:topLinePunct w:val="0"/>
        <w:autoSpaceDE/>
        <w:bidi w:val="0"/>
        <w:adjustRightInd/>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五、会计账簿</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1.了解会计账簿的概念；</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2.掌握会计账簿种类及应用；</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3.掌握账簿的启用规则；</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4.掌握账簿的登记规则；</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5.理解总分类账和明细分类账的平行登记的要点；</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6.掌握总分类账和明细分类账的平行登记方法；</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7.掌握现金日记账和银行存款日记账的设置与登记方法；</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8.掌握总分类账的设置与登记方法；</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9.掌握明细分类账的设置与登记方法；</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10.理解对账的概念及内容；</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11.掌握各种错账更正方法的应用；</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12.理解结账的程序；</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13.掌握结账的方法；</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14.了解会计账簿的更换与保管。</w:t>
      </w:r>
    </w:p>
    <w:p>
      <w:pPr>
        <w:pStyle w:val="3"/>
        <w:keepNext w:val="0"/>
        <w:keepLines w:val="0"/>
        <w:pageBreakBefore w:val="0"/>
        <w:widowControl w:val="0"/>
        <w:kinsoku/>
        <w:wordWrap/>
        <w:overflowPunct/>
        <w:topLinePunct w:val="0"/>
        <w:autoSpaceDE/>
        <w:bidi w:val="0"/>
        <w:adjustRightInd/>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六、主要经济业务的基本知识（以制造业企业业务为主）</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1.掌握企业筹集资金的核算；</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2.掌握企业供应过程的核算；</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3.掌握企业生产过程的核算；</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4.掌握企业销售过程的核算；</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5.理解企业利润的形成和分配的核算；</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6.理解成本和费用的概念以及成本与费用的关系；</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7.掌握企业采购成本、生产成本和销售成本的核算。</w:t>
      </w:r>
    </w:p>
    <w:p>
      <w:pPr>
        <w:pStyle w:val="3"/>
        <w:keepNext w:val="0"/>
        <w:keepLines w:val="0"/>
        <w:pageBreakBefore w:val="0"/>
        <w:widowControl w:val="0"/>
        <w:kinsoku/>
        <w:wordWrap/>
        <w:overflowPunct/>
        <w:topLinePunct w:val="0"/>
        <w:autoSpaceDE/>
        <w:bidi w:val="0"/>
        <w:adjustRightInd/>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七、财产清查 </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1.了解财产清查的概念；</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2.了解财产清查的一般程序；</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3.了解财产清查的种类以及适用范围；</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4.理解财产物资的盘存制度的含义、优缺点；</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5.掌握企业库存现金的清查方法；</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6.掌握企业库存现金清查结果的账务处理；</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7.掌握企业银行存款的清查方法；</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8.理解未达账项；</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9.掌握银行存款余额调节表的编制；</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10.理解企业财产物资实物的清查方法；</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11.掌握企业流动资产清查结果的账务处理；</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12.了解企业固定资产清查结果的处理；</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13.了解企业往来款项的清查。</w:t>
      </w:r>
    </w:p>
    <w:p>
      <w:pPr>
        <w:pStyle w:val="3"/>
        <w:keepNext w:val="0"/>
        <w:keepLines w:val="0"/>
        <w:pageBreakBefore w:val="0"/>
        <w:widowControl w:val="0"/>
        <w:kinsoku/>
        <w:wordWrap/>
        <w:overflowPunct/>
        <w:topLinePunct w:val="0"/>
        <w:autoSpaceDE/>
        <w:bidi w:val="0"/>
        <w:adjustRightInd/>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八、会计核算程序</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1.了解企业会计核算程序的概念；</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2.了解会计核算程序的意义；</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3.掌握会计核算程序的种类；</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4.理解记账凭证核算程序的概念；</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5.理解记账凭证核算程序的步骤；</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6.掌握记账凭证核算程序的特点、优缺点及适用范围；</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7.掌握记账凭证核算程序在会计核算中的应用；</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8.理解科目汇总表核算程序的概念；</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9.理解科目汇总表核算程序的步骤； </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10.掌握科目汇总表核算程序的特点、优缺点及适用范围；</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11.掌握科目汇总表的编制方法。</w:t>
      </w:r>
    </w:p>
    <w:p>
      <w:pPr>
        <w:pStyle w:val="3"/>
        <w:keepNext w:val="0"/>
        <w:keepLines w:val="0"/>
        <w:pageBreakBefore w:val="0"/>
        <w:widowControl w:val="0"/>
        <w:kinsoku/>
        <w:wordWrap/>
        <w:overflowPunct/>
        <w:topLinePunct w:val="0"/>
        <w:autoSpaceDE/>
        <w:bidi w:val="0"/>
        <w:adjustRightInd/>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九、财务会计报告 </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1.了解财务会计报告的概念、种类；</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2.理解财务会计报告的编制要求；</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3.理解资产负债表的概念；</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4.了解资产负债表的作用；</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5.理解资产负债表的结构及编制的理论依据；</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6.掌握资产负债表的编制方法；</w:t>
      </w:r>
    </w:p>
    <w:p>
      <w:pPr>
        <w:keepNext w:val="0"/>
        <w:keepLines w:val="0"/>
        <w:pageBreakBefore w:val="0"/>
        <w:widowControl w:val="0"/>
        <w:kinsoku/>
        <w:wordWrap/>
        <w:overflowPunct/>
        <w:topLinePunct w:val="0"/>
        <w:autoSpaceDE/>
        <w:bidi w:val="0"/>
        <w:adjustRightInd/>
        <w:spacing w:line="48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7.理解利润表的概念；</w:t>
      </w:r>
    </w:p>
    <w:p>
      <w:pPr>
        <w:keepNext w:val="0"/>
        <w:keepLines w:val="0"/>
        <w:pageBreakBefore w:val="0"/>
        <w:widowControl w:val="0"/>
        <w:kinsoku/>
        <w:wordWrap/>
        <w:overflowPunct/>
        <w:topLinePunct w:val="0"/>
        <w:autoSpaceDE/>
        <w:bidi w:val="0"/>
        <w:adjustRightInd/>
        <w:spacing w:line="48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8.了解利润表的作用；</w:t>
      </w:r>
    </w:p>
    <w:p>
      <w:pPr>
        <w:keepNext w:val="0"/>
        <w:keepLines w:val="0"/>
        <w:pageBreakBefore w:val="0"/>
        <w:widowControl w:val="0"/>
        <w:kinsoku/>
        <w:wordWrap/>
        <w:overflowPunct/>
        <w:topLinePunct w:val="0"/>
        <w:autoSpaceDE/>
        <w:bidi w:val="0"/>
        <w:adjustRightInd/>
        <w:spacing w:line="48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9.理解利润表的结构及编制的理论依据；</w:t>
      </w:r>
    </w:p>
    <w:p>
      <w:pPr>
        <w:keepNext w:val="0"/>
        <w:keepLines w:val="0"/>
        <w:pageBreakBefore w:val="0"/>
        <w:widowControl w:val="0"/>
        <w:kinsoku/>
        <w:wordWrap/>
        <w:overflowPunct/>
        <w:topLinePunct w:val="0"/>
        <w:autoSpaceDE/>
        <w:bidi w:val="0"/>
        <w:adjustRightInd/>
        <w:spacing w:line="48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10.掌握利润表的编制方法；</w:t>
      </w:r>
    </w:p>
    <w:p>
      <w:pPr>
        <w:keepNext w:val="0"/>
        <w:keepLines w:val="0"/>
        <w:pageBreakBefore w:val="0"/>
        <w:widowControl w:val="0"/>
        <w:kinsoku/>
        <w:wordWrap/>
        <w:overflowPunct/>
        <w:topLinePunct w:val="0"/>
        <w:autoSpaceDE/>
        <w:bidi w:val="0"/>
        <w:adjustRightInd/>
        <w:spacing w:line="48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11.了解财务会计报告的报送和审批。</w:t>
      </w:r>
    </w:p>
    <w:p>
      <w:pPr>
        <w:pStyle w:val="10"/>
        <w:keepNext w:val="0"/>
        <w:keepLines w:val="0"/>
        <w:pageBreakBefore w:val="0"/>
        <w:widowControl w:val="0"/>
        <w:kinsoku/>
        <w:wordWrap/>
        <w:overflowPunct/>
        <w:topLinePunct w:val="0"/>
        <w:autoSpaceDE/>
        <w:bidi w:val="0"/>
        <w:adjustRightInd/>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Ⅲ.考试形式及试卷结构</w:t>
      </w:r>
    </w:p>
    <w:p>
      <w:pPr>
        <w:pStyle w:val="2"/>
        <w:keepNext w:val="0"/>
        <w:keepLines w:val="0"/>
        <w:pageBreakBefore w:val="0"/>
        <w:widowControl w:val="0"/>
        <w:kinsoku/>
        <w:wordWrap/>
        <w:overflowPunct/>
        <w:topLinePunct w:val="0"/>
        <w:autoSpaceDE/>
        <w:bidi w:val="0"/>
        <w:adjustRightInd/>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一、考试形式</w:t>
      </w:r>
    </w:p>
    <w:p>
      <w:pPr>
        <w:keepNext w:val="0"/>
        <w:keepLines w:val="0"/>
        <w:pageBreakBefore w:val="0"/>
        <w:widowControl w:val="0"/>
        <w:kinsoku/>
        <w:wordWrap/>
        <w:overflowPunct/>
        <w:topLinePunct w:val="0"/>
        <w:autoSpaceDE/>
        <w:bidi w:val="0"/>
        <w:adjustRightInd/>
        <w:spacing w:line="480" w:lineRule="exact"/>
        <w:ind w:right="0" w:rightChars="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1.考试采用闭卷、笔试形式；</w:t>
      </w:r>
    </w:p>
    <w:p>
      <w:pPr>
        <w:keepNext w:val="0"/>
        <w:keepLines w:val="0"/>
        <w:pageBreakBefore w:val="0"/>
        <w:widowControl w:val="0"/>
        <w:kinsoku/>
        <w:wordWrap/>
        <w:overflowPunct/>
        <w:topLinePunct w:val="0"/>
        <w:autoSpaceDE/>
        <w:bidi w:val="0"/>
        <w:adjustRightInd/>
        <w:spacing w:line="48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2.卷Ⅰ（合格性考试）满分为150分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考试时间为90分钟；</w:t>
      </w:r>
    </w:p>
    <w:p>
      <w:pPr>
        <w:keepNext w:val="0"/>
        <w:keepLines w:val="0"/>
        <w:pageBreakBefore w:val="0"/>
        <w:widowControl w:val="0"/>
        <w:kinsoku/>
        <w:wordWrap/>
        <w:overflowPunct/>
        <w:topLinePunct w:val="0"/>
        <w:autoSpaceDE/>
        <w:bidi w:val="0"/>
        <w:adjustRightInd/>
        <w:spacing w:line="48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3.卷Ⅱ（等级性考试）满分为100分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考试时间为60分钟。</w:t>
      </w:r>
    </w:p>
    <w:p>
      <w:pPr>
        <w:pStyle w:val="2"/>
        <w:keepNext w:val="0"/>
        <w:keepLines w:val="0"/>
        <w:pageBreakBefore w:val="0"/>
        <w:widowControl w:val="0"/>
        <w:kinsoku/>
        <w:wordWrap/>
        <w:overflowPunct/>
        <w:topLinePunct w:val="0"/>
        <w:autoSpaceDE/>
        <w:bidi w:val="0"/>
        <w:adjustRightInd/>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二、内容比例</w:t>
      </w:r>
    </w:p>
    <w:tbl>
      <w:tblPr>
        <w:tblStyle w:val="13"/>
        <w:tblW w:w="7614" w:type="dxa"/>
        <w:jc w:val="center"/>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4275"/>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4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内容结构</w:t>
            </w:r>
          </w:p>
        </w:tc>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分值比例（约占）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20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会计基础概述</w:t>
            </w:r>
          </w:p>
        </w:tc>
        <w:tc>
          <w:tcPr>
            <w:tcW w:w="213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20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会计要素与会计平衡公式</w:t>
            </w:r>
          </w:p>
        </w:tc>
        <w:tc>
          <w:tcPr>
            <w:tcW w:w="2134" w:type="dxa"/>
            <w:tcBorders>
              <w:left w:val="single" w:color="auto" w:sz="4" w:space="0"/>
              <w:right w:val="single" w:color="auto" w:sz="4" w:space="0"/>
            </w:tcBorders>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20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账户和复式记账</w:t>
            </w:r>
          </w:p>
        </w:tc>
        <w:tc>
          <w:tcPr>
            <w:tcW w:w="2134" w:type="dxa"/>
            <w:tcBorders>
              <w:left w:val="single" w:color="auto" w:sz="4" w:space="0"/>
              <w:right w:val="single" w:color="auto" w:sz="4" w:space="0"/>
            </w:tcBorders>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20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会计凭证</w:t>
            </w:r>
          </w:p>
        </w:tc>
        <w:tc>
          <w:tcPr>
            <w:tcW w:w="2134" w:type="dxa"/>
            <w:tcBorders>
              <w:left w:val="single" w:color="auto" w:sz="4" w:space="0"/>
              <w:right w:val="single" w:color="auto" w:sz="4" w:space="0"/>
            </w:tcBorders>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20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会计账簿</w:t>
            </w:r>
          </w:p>
        </w:tc>
        <w:tc>
          <w:tcPr>
            <w:tcW w:w="2134" w:type="dxa"/>
            <w:tcBorders>
              <w:left w:val="single" w:color="auto" w:sz="4" w:space="0"/>
              <w:right w:val="single" w:color="auto" w:sz="4" w:space="0"/>
            </w:tcBorders>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20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主要经济业务的基本知识</w:t>
            </w:r>
          </w:p>
        </w:tc>
        <w:tc>
          <w:tcPr>
            <w:tcW w:w="2134" w:type="dxa"/>
            <w:tcBorders>
              <w:left w:val="single" w:color="auto" w:sz="4" w:space="0"/>
              <w:right w:val="single" w:color="auto" w:sz="4" w:space="0"/>
            </w:tcBorders>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20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4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财产清查</w:t>
            </w:r>
          </w:p>
        </w:tc>
        <w:tc>
          <w:tcPr>
            <w:tcW w:w="2134" w:type="dxa"/>
            <w:tcBorders>
              <w:left w:val="single" w:color="auto" w:sz="4" w:space="0"/>
              <w:right w:val="single" w:color="auto" w:sz="4" w:space="0"/>
            </w:tcBorders>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20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会计核算程序</w:t>
            </w:r>
          </w:p>
        </w:tc>
        <w:tc>
          <w:tcPr>
            <w:tcW w:w="2134" w:type="dxa"/>
            <w:tcBorders>
              <w:left w:val="single" w:color="auto" w:sz="4" w:space="0"/>
              <w:right w:val="single" w:color="auto" w:sz="4" w:space="0"/>
            </w:tcBorders>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205"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4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520" w:lineRule="exact"/>
              <w:ind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财务会计报告</w:t>
            </w:r>
          </w:p>
        </w:tc>
        <w:tc>
          <w:tcPr>
            <w:tcW w:w="2134"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bidi w:val="0"/>
              <w:adjustRightIn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bl>
    <w:p>
      <w:pPr>
        <w:pStyle w:val="2"/>
        <w:keepNext w:val="0"/>
        <w:keepLines w:val="0"/>
        <w:pageBreakBefore w:val="0"/>
        <w:widowControl w:val="0"/>
        <w:kinsoku/>
        <w:wordWrap/>
        <w:overflowPunct/>
        <w:topLinePunct w:val="0"/>
        <w:autoSpaceDE/>
        <w:bidi w:val="0"/>
        <w:adjustRightInd/>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三、考试题型</w:t>
      </w:r>
    </w:p>
    <w:p>
      <w:pPr>
        <w:pStyle w:val="6"/>
        <w:keepNext w:val="0"/>
        <w:keepLines w:val="0"/>
        <w:pageBreakBefore w:val="0"/>
        <w:widowControl w:val="0"/>
        <w:kinsoku/>
        <w:wordWrap/>
        <w:overflowPunct/>
        <w:topLinePunct w:val="0"/>
        <w:autoSpaceDE/>
        <w:bidi w:val="0"/>
        <w:adjustRightInd/>
        <w:snapToGrid w:val="0"/>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1.卷Ⅰ（合格性考试）包括单项选择题和判断选择题等题型；</w:t>
      </w:r>
    </w:p>
    <w:p>
      <w:pPr>
        <w:keepNext w:val="0"/>
        <w:keepLines w:val="0"/>
        <w:pageBreakBefore w:val="0"/>
        <w:widowControl w:val="0"/>
        <w:kinsoku/>
        <w:wordWrap/>
        <w:overflowPunct/>
        <w:topLinePunct w:val="0"/>
        <w:autoSpaceDE/>
        <w:bidi w:val="0"/>
        <w:adjustRightInd/>
        <w:spacing w:line="52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2.卷Ⅱ（等级性考试）包括多项选择题和综合应用题（分录、计算、应用等）等题型。</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3629611"/>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182E"/>
    <w:rsid w:val="00010244"/>
    <w:rsid w:val="0008155B"/>
    <w:rsid w:val="000904FD"/>
    <w:rsid w:val="000939E0"/>
    <w:rsid w:val="000A49C0"/>
    <w:rsid w:val="000C5B52"/>
    <w:rsid w:val="000D3F04"/>
    <w:rsid w:val="000E4DF0"/>
    <w:rsid w:val="001312DE"/>
    <w:rsid w:val="00146F00"/>
    <w:rsid w:val="00154D6F"/>
    <w:rsid w:val="00172198"/>
    <w:rsid w:val="0017406E"/>
    <w:rsid w:val="00183D19"/>
    <w:rsid w:val="00185813"/>
    <w:rsid w:val="001D264F"/>
    <w:rsid w:val="001D73D8"/>
    <w:rsid w:val="0020258F"/>
    <w:rsid w:val="00231413"/>
    <w:rsid w:val="00231A3D"/>
    <w:rsid w:val="002414BB"/>
    <w:rsid w:val="00251D31"/>
    <w:rsid w:val="002667E7"/>
    <w:rsid w:val="002746B8"/>
    <w:rsid w:val="00276FF9"/>
    <w:rsid w:val="00282028"/>
    <w:rsid w:val="002A2CDF"/>
    <w:rsid w:val="002A6DD0"/>
    <w:rsid w:val="002A71A4"/>
    <w:rsid w:val="002B5056"/>
    <w:rsid w:val="002D0F1C"/>
    <w:rsid w:val="002D710C"/>
    <w:rsid w:val="002F3EC4"/>
    <w:rsid w:val="00315DB9"/>
    <w:rsid w:val="003259D5"/>
    <w:rsid w:val="00366A4B"/>
    <w:rsid w:val="003935A9"/>
    <w:rsid w:val="003950D2"/>
    <w:rsid w:val="003B2DAD"/>
    <w:rsid w:val="003B7007"/>
    <w:rsid w:val="003B7273"/>
    <w:rsid w:val="003C37AB"/>
    <w:rsid w:val="00401C76"/>
    <w:rsid w:val="00413F92"/>
    <w:rsid w:val="0042106A"/>
    <w:rsid w:val="00426D69"/>
    <w:rsid w:val="00427F2E"/>
    <w:rsid w:val="00481F5B"/>
    <w:rsid w:val="004A0187"/>
    <w:rsid w:val="004B43AE"/>
    <w:rsid w:val="004E5336"/>
    <w:rsid w:val="00507CD0"/>
    <w:rsid w:val="00511E24"/>
    <w:rsid w:val="00517444"/>
    <w:rsid w:val="005331CF"/>
    <w:rsid w:val="00554F10"/>
    <w:rsid w:val="00565450"/>
    <w:rsid w:val="0056557E"/>
    <w:rsid w:val="00570FD3"/>
    <w:rsid w:val="005A009A"/>
    <w:rsid w:val="005A7216"/>
    <w:rsid w:val="005D4668"/>
    <w:rsid w:val="005E23D2"/>
    <w:rsid w:val="0061572B"/>
    <w:rsid w:val="006368D6"/>
    <w:rsid w:val="006605D6"/>
    <w:rsid w:val="00683F41"/>
    <w:rsid w:val="006B4C45"/>
    <w:rsid w:val="006C0E2B"/>
    <w:rsid w:val="006C40D3"/>
    <w:rsid w:val="006D1670"/>
    <w:rsid w:val="00703997"/>
    <w:rsid w:val="00727DA6"/>
    <w:rsid w:val="00787CF9"/>
    <w:rsid w:val="007B3634"/>
    <w:rsid w:val="007B461E"/>
    <w:rsid w:val="007C500F"/>
    <w:rsid w:val="007D7D4F"/>
    <w:rsid w:val="008105FE"/>
    <w:rsid w:val="00813AA1"/>
    <w:rsid w:val="00826D9D"/>
    <w:rsid w:val="00842E29"/>
    <w:rsid w:val="008649E3"/>
    <w:rsid w:val="008A48A7"/>
    <w:rsid w:val="008B0ADC"/>
    <w:rsid w:val="008D4856"/>
    <w:rsid w:val="008F260D"/>
    <w:rsid w:val="009162D2"/>
    <w:rsid w:val="00932C56"/>
    <w:rsid w:val="009446C1"/>
    <w:rsid w:val="00945A6B"/>
    <w:rsid w:val="00963290"/>
    <w:rsid w:val="00994EF9"/>
    <w:rsid w:val="00996292"/>
    <w:rsid w:val="009A7894"/>
    <w:rsid w:val="009C73AC"/>
    <w:rsid w:val="009C770A"/>
    <w:rsid w:val="009E7B49"/>
    <w:rsid w:val="00A07D9D"/>
    <w:rsid w:val="00A15CA5"/>
    <w:rsid w:val="00A3182E"/>
    <w:rsid w:val="00A45A05"/>
    <w:rsid w:val="00A667A2"/>
    <w:rsid w:val="00A9022B"/>
    <w:rsid w:val="00AB2B01"/>
    <w:rsid w:val="00AB5A85"/>
    <w:rsid w:val="00AF14EE"/>
    <w:rsid w:val="00AF3A2E"/>
    <w:rsid w:val="00B10BDB"/>
    <w:rsid w:val="00B27204"/>
    <w:rsid w:val="00B31D11"/>
    <w:rsid w:val="00B50908"/>
    <w:rsid w:val="00B67807"/>
    <w:rsid w:val="00B87EAC"/>
    <w:rsid w:val="00B97387"/>
    <w:rsid w:val="00BD13BF"/>
    <w:rsid w:val="00BD3230"/>
    <w:rsid w:val="00C10A2B"/>
    <w:rsid w:val="00C228C1"/>
    <w:rsid w:val="00C40714"/>
    <w:rsid w:val="00C40F79"/>
    <w:rsid w:val="00C50BFA"/>
    <w:rsid w:val="00CB746E"/>
    <w:rsid w:val="00CD3DC6"/>
    <w:rsid w:val="00CD7B7E"/>
    <w:rsid w:val="00D308EE"/>
    <w:rsid w:val="00D30920"/>
    <w:rsid w:val="00D66BEB"/>
    <w:rsid w:val="00D944CE"/>
    <w:rsid w:val="00DE6F40"/>
    <w:rsid w:val="00DF051E"/>
    <w:rsid w:val="00DF1F7B"/>
    <w:rsid w:val="00DF5723"/>
    <w:rsid w:val="00E12E14"/>
    <w:rsid w:val="00E40FF9"/>
    <w:rsid w:val="00E432A7"/>
    <w:rsid w:val="00E5182F"/>
    <w:rsid w:val="00E57E74"/>
    <w:rsid w:val="00E61FAC"/>
    <w:rsid w:val="00EA6A68"/>
    <w:rsid w:val="00EC4ED9"/>
    <w:rsid w:val="00EE3723"/>
    <w:rsid w:val="00F94F1B"/>
    <w:rsid w:val="00F96FB6"/>
    <w:rsid w:val="00FA4C4D"/>
    <w:rsid w:val="00FC4AE2"/>
    <w:rsid w:val="00FE3D19"/>
    <w:rsid w:val="00FE4755"/>
    <w:rsid w:val="028B0710"/>
    <w:rsid w:val="02B655A4"/>
    <w:rsid w:val="07890FC3"/>
    <w:rsid w:val="07F70DA2"/>
    <w:rsid w:val="0A895068"/>
    <w:rsid w:val="0B90448A"/>
    <w:rsid w:val="203D148E"/>
    <w:rsid w:val="232B5E24"/>
    <w:rsid w:val="24D81119"/>
    <w:rsid w:val="29AE3FE8"/>
    <w:rsid w:val="332F3586"/>
    <w:rsid w:val="39AB6497"/>
    <w:rsid w:val="46974FE1"/>
    <w:rsid w:val="4A8167B0"/>
    <w:rsid w:val="52814B89"/>
    <w:rsid w:val="668B30DB"/>
    <w:rsid w:val="755D0163"/>
    <w:rsid w:val="767F101F"/>
    <w:rsid w:val="78B72ACB"/>
    <w:rsid w:val="7A302AC7"/>
    <w:rsid w:val="7B4650C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9"/>
    <w:pPr>
      <w:autoSpaceDN w:val="0"/>
      <w:snapToGrid w:val="0"/>
      <w:spacing w:line="520" w:lineRule="exact"/>
      <w:ind w:firstLine="562" w:firstLineChars="200"/>
      <w:jc w:val="left"/>
      <w:outlineLvl w:val="0"/>
    </w:pPr>
    <w:rPr>
      <w:rFonts w:ascii="仿宋_GB2312" w:eastAsia="仿宋_GB2312" w:hAnsiTheme="minorEastAsia"/>
      <w:b/>
      <w:sz w:val="28"/>
      <w:szCs w:val="28"/>
    </w:rPr>
  </w:style>
  <w:style w:type="paragraph" w:styleId="3">
    <w:name w:val="heading 2"/>
    <w:basedOn w:val="1"/>
    <w:next w:val="1"/>
    <w:link w:val="21"/>
    <w:unhideWhenUsed/>
    <w:qFormat/>
    <w:uiPriority w:val="9"/>
    <w:pPr>
      <w:spacing w:line="520" w:lineRule="exact"/>
      <w:ind w:firstLine="562" w:firstLineChars="200"/>
      <w:outlineLvl w:val="1"/>
    </w:pPr>
    <w:rPr>
      <w:rFonts w:cs="Times New Roman" w:asciiTheme="minorEastAsia" w:hAnsiTheme="minorEastAsia"/>
      <w:b/>
      <w:sz w:val="28"/>
      <w:szCs w:val="28"/>
    </w:rPr>
  </w:style>
  <w:style w:type="paragraph" w:styleId="4">
    <w:name w:val="heading 3"/>
    <w:basedOn w:val="1"/>
    <w:next w:val="1"/>
    <w:link w:val="14"/>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3"/>
    <w:unhideWhenUsed/>
    <w:qFormat/>
    <w:uiPriority w:val="99"/>
    <w:rPr>
      <w:rFonts w:asciiTheme="minorHAnsi" w:hAnsiTheme="minorHAnsi" w:eastAsiaTheme="minorEastAsia" w:cstheme="minorBidi"/>
      <w:b/>
      <w:bCs/>
      <w:kern w:val="2"/>
      <w:sz w:val="21"/>
    </w:rPr>
  </w:style>
  <w:style w:type="paragraph" w:styleId="6">
    <w:name w:val="annotation text"/>
    <w:basedOn w:val="1"/>
    <w:link w:val="15"/>
    <w:qFormat/>
    <w:uiPriority w:val="0"/>
    <w:pPr>
      <w:jc w:val="left"/>
    </w:pPr>
    <w:rPr>
      <w:rFonts w:ascii="宋体" w:hAnsi="宋体" w:eastAsia="宋体" w:cs="Times New Roman"/>
      <w:kern w:val="0"/>
      <w:sz w:val="20"/>
    </w:rPr>
  </w:style>
  <w:style w:type="paragraph" w:styleId="7">
    <w:name w:val="Balloon Text"/>
    <w:basedOn w:val="1"/>
    <w:link w:val="22"/>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9"/>
    <w:qFormat/>
    <w:uiPriority w:val="10"/>
    <w:pPr>
      <w:spacing w:line="520" w:lineRule="exact"/>
      <w:jc w:val="center"/>
    </w:pPr>
    <w:rPr>
      <w:rFonts w:ascii="仿宋_GB2312" w:eastAsia="仿宋_GB2312" w:cs="Times New Roman" w:hAnsiTheme="minorEastAsia"/>
      <w:b/>
      <w:sz w:val="28"/>
      <w:szCs w:val="28"/>
    </w:rPr>
  </w:style>
  <w:style w:type="character" w:styleId="12">
    <w:name w:val="annotation reference"/>
    <w:basedOn w:val="11"/>
    <w:unhideWhenUsed/>
    <w:uiPriority w:val="99"/>
    <w:rPr>
      <w:sz w:val="21"/>
      <w:szCs w:val="21"/>
    </w:rPr>
  </w:style>
  <w:style w:type="character" w:customStyle="1" w:styleId="14">
    <w:name w:val="标题 3 Char"/>
    <w:basedOn w:val="11"/>
    <w:link w:val="4"/>
    <w:qFormat/>
    <w:uiPriority w:val="0"/>
    <w:rPr>
      <w:rFonts w:ascii="Times New Roman" w:hAnsi="Times New Roman" w:eastAsia="宋体" w:cs="Times New Roman"/>
      <w:b/>
      <w:bCs/>
      <w:sz w:val="32"/>
      <w:szCs w:val="32"/>
    </w:rPr>
  </w:style>
  <w:style w:type="character" w:customStyle="1" w:styleId="15">
    <w:name w:val="批注文字 Char"/>
    <w:basedOn w:val="11"/>
    <w:link w:val="6"/>
    <w:qFormat/>
    <w:uiPriority w:val="0"/>
    <w:rPr>
      <w:rFonts w:ascii="宋体" w:hAnsi="宋体" w:eastAsia="宋体" w:cs="Times New Roman"/>
      <w:kern w:val="0"/>
      <w:sz w:val="20"/>
      <w:szCs w:val="24"/>
    </w:rPr>
  </w:style>
  <w:style w:type="character" w:customStyle="1" w:styleId="16">
    <w:name w:val="页眉 Char"/>
    <w:basedOn w:val="11"/>
    <w:link w:val="9"/>
    <w:uiPriority w:val="99"/>
    <w:rPr>
      <w:kern w:val="2"/>
      <w:sz w:val="18"/>
      <w:szCs w:val="18"/>
    </w:rPr>
  </w:style>
  <w:style w:type="character" w:customStyle="1" w:styleId="17">
    <w:name w:val="页脚 Char"/>
    <w:basedOn w:val="11"/>
    <w:link w:val="8"/>
    <w:uiPriority w:val="99"/>
    <w:rPr>
      <w:kern w:val="2"/>
      <w:sz w:val="18"/>
      <w:szCs w:val="18"/>
    </w:rPr>
  </w:style>
  <w:style w:type="paragraph" w:customStyle="1" w:styleId="18">
    <w:name w:val="List Paragraph"/>
    <w:basedOn w:val="1"/>
    <w:unhideWhenUsed/>
    <w:uiPriority w:val="99"/>
    <w:pPr>
      <w:ind w:firstLine="420" w:firstLineChars="200"/>
    </w:pPr>
  </w:style>
  <w:style w:type="character" w:customStyle="1" w:styleId="19">
    <w:name w:val="标题 Char"/>
    <w:basedOn w:val="11"/>
    <w:link w:val="10"/>
    <w:qFormat/>
    <w:uiPriority w:val="10"/>
    <w:rPr>
      <w:rFonts w:ascii="仿宋_GB2312" w:eastAsia="仿宋_GB2312" w:cs="Times New Roman" w:hAnsiTheme="minorEastAsia"/>
      <w:b/>
      <w:kern w:val="2"/>
      <w:sz w:val="28"/>
      <w:szCs w:val="28"/>
    </w:rPr>
  </w:style>
  <w:style w:type="character" w:customStyle="1" w:styleId="20">
    <w:name w:val="标题 1 Char"/>
    <w:basedOn w:val="11"/>
    <w:link w:val="2"/>
    <w:qFormat/>
    <w:uiPriority w:val="9"/>
    <w:rPr>
      <w:rFonts w:ascii="仿宋_GB2312" w:eastAsia="仿宋_GB2312" w:hAnsiTheme="minorEastAsia"/>
      <w:b/>
      <w:kern w:val="2"/>
      <w:sz w:val="28"/>
      <w:szCs w:val="28"/>
    </w:rPr>
  </w:style>
  <w:style w:type="character" w:customStyle="1" w:styleId="21">
    <w:name w:val="标题 2 Char"/>
    <w:basedOn w:val="11"/>
    <w:link w:val="3"/>
    <w:qFormat/>
    <w:uiPriority w:val="9"/>
    <w:rPr>
      <w:rFonts w:cs="Times New Roman" w:asciiTheme="minorEastAsia" w:hAnsiTheme="minorEastAsia"/>
      <w:b/>
      <w:kern w:val="2"/>
      <w:sz w:val="28"/>
      <w:szCs w:val="28"/>
    </w:rPr>
  </w:style>
  <w:style w:type="character" w:customStyle="1" w:styleId="22">
    <w:name w:val="批注框文本 Char"/>
    <w:basedOn w:val="11"/>
    <w:link w:val="7"/>
    <w:semiHidden/>
    <w:qFormat/>
    <w:uiPriority w:val="99"/>
    <w:rPr>
      <w:kern w:val="2"/>
      <w:sz w:val="18"/>
      <w:szCs w:val="18"/>
    </w:rPr>
  </w:style>
  <w:style w:type="character" w:customStyle="1" w:styleId="23">
    <w:name w:val="批注主题 Char"/>
    <w:basedOn w:val="15"/>
    <w:link w:val="5"/>
    <w:semiHidden/>
    <w:qFormat/>
    <w:uiPriority w:val="99"/>
    <w:rPr>
      <w:rFonts w:ascii="宋体" w:hAnsi="宋体"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395</Words>
  <Characters>2258</Characters>
  <Lines>18</Lines>
  <Paragraphs>5</Paragraphs>
  <ScaleCrop>false</ScaleCrop>
  <LinksUpToDate>false</LinksUpToDate>
  <CharactersWithSpaces>2648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2019-03-07T09:24:00Z</dcterms:created>
  <dc:creator>Administrator</dc:creator>
  <cp:lastModifiedBy>7】；‘</cp:lastModifiedBy>
  <cp:lastPrinted>2021-02-04T10:23:35Z</cp:lastPrinted>
  <dcterms:modified xsi:type="dcterms:W3CDTF">2021-02-04T10:25:23Z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